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2"/>
        <w:gridCol w:w="4765"/>
      </w:tblGrid>
      <w:tr>
        <w:trPr/>
        <w:tc>
          <w:tcPr>
            <w:tcW w:w="48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新細明體" w:cs=""/>
                <w:kern w:val="0"/>
                <w:sz w:val="22"/>
                <w:szCs w:val="22"/>
                <w:lang w:val="en-AU" w:eastAsia="zh-TW" w:bidi="ar-SA"/>
              </w:rPr>
            </w:pPr>
            <w:r>
              <w:rPr/>
              <w:drawing>
                <wp:inline distT="0" distB="0" distL="0" distR="0">
                  <wp:extent cx="2350135" cy="944245"/>
                  <wp:effectExtent l="0" t="0" r="0" b="0"/>
                  <wp:docPr id="1" name="Picture 0" descr="tpaa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tpaa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color="auto" w:fill="auto" w:val="pct95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themeColor="background1" w:val="FFFFFF"/>
                <w:sz w:val="56"/>
              </w:rPr>
            </w:pPr>
            <w:r>
              <w:rPr>
                <w:rFonts w:eastAsia="新細明體" w:cs=""/>
                <w:color w:themeColor="background1" w:val="FFFFFF"/>
                <w:kern w:val="0"/>
                <w:sz w:val="56"/>
                <w:szCs w:val="22"/>
                <w:lang w:val="en-AU" w:eastAsia="zh-TW" w:bidi="ar-SA"/>
              </w:rPr>
              <w:t>Code of Practice 2</w:t>
            </w:r>
          </w:p>
        </w:tc>
      </w:tr>
      <w:tr>
        <w:trPr/>
        <w:tc>
          <w:tcPr>
            <w:tcW w:w="4872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新細明體" w:cs=""/>
                <w:kern w:val="0"/>
                <w:sz w:val="22"/>
                <w:szCs w:val="22"/>
                <w:lang w:val="en-AU" w:eastAsia="zh-TW" w:bidi="ar-SA"/>
              </w:rPr>
            </w:pPr>
            <w:r>
              <w:rPr>
                <w:rFonts w:eastAsia="新細明體" w:cs=""/>
                <w:kern w:val="0"/>
                <w:sz w:val="22"/>
                <w:szCs w:val="22"/>
                <w:lang w:val="en-AU" w:eastAsia="zh-TW" w:bidi="ar-SA"/>
              </w:rPr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120" w:after="0"/>
              <w:jc w:val="left"/>
              <w:rPr>
                <w:sz w:val="40"/>
                <w:szCs w:val="28"/>
              </w:rPr>
            </w:pPr>
            <w:r>
              <w:rPr>
                <w:rFonts w:eastAsia="新細明體" w:cs=""/>
                <w:kern w:val="0"/>
                <w:sz w:val="40"/>
                <w:szCs w:val="28"/>
                <w:lang w:val="en-AU" w:eastAsia="zh-TW" w:bidi="ar-SA"/>
              </w:rPr>
              <w:t>Guideline for the collection of samples for preservative compliance testing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新細明體" w:cs=""/>
                <w:kern w:val="0"/>
                <w:sz w:val="22"/>
                <w:szCs w:val="22"/>
                <w:lang w:val="en-AU" w:eastAsia="zh-TW" w:bidi="ar-SA"/>
              </w:rPr>
            </w:pPr>
            <w:r>
              <w:rPr/>
              <w:drawing>
                <wp:inline distT="0" distB="0" distL="0" distR="0">
                  <wp:extent cx="6206490" cy="160020"/>
                  <wp:effectExtent l="0" t="0" r="0" b="0"/>
                  <wp:docPr id="2" name="Picture 2" descr="wood_grain_texture_by_israfelx-d56tsx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ood_grain_texture_by_israfelx-d56tsx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49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b/>
          <w:sz w:val="32"/>
          <w:szCs w:val="28"/>
        </w:rPr>
      </w:pPr>
      <w:r>
        <w:rPr>
          <w:b/>
          <w:sz w:val="32"/>
          <w:szCs w:val="28"/>
        </w:rPr>
        <w:t>Introduction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The specifications in Australian and New Zealand standard AS/NZS1604.2:2021 </w:t>
      </w:r>
      <w:r>
        <w:rPr>
          <w:i/>
          <w:iCs/>
          <w:sz w:val="28"/>
          <w:szCs w:val="28"/>
        </w:rPr>
        <w:t>Preservative-treated wood-based products Part 2 Verification requirements,</w:t>
      </w:r>
      <w:r>
        <w:rPr>
          <w:i w:val="false"/>
          <w:iCs w:val="false"/>
          <w:sz w:val="28"/>
          <w:szCs w:val="28"/>
        </w:rPr>
        <w:t xml:space="preserve"> must be used to able to claim compliance with Part 1 (</w:t>
      </w:r>
      <w:r>
        <w:rPr>
          <w:i/>
          <w:iCs/>
          <w:sz w:val="28"/>
          <w:szCs w:val="28"/>
        </w:rPr>
        <w:t xml:space="preserve">Products and treatment) </w:t>
      </w:r>
      <w:r>
        <w:rPr>
          <w:i w:val="false"/>
          <w:iCs w:val="false"/>
          <w:sz w:val="28"/>
          <w:szCs w:val="28"/>
        </w:rPr>
        <w:t>of the Standard.</w:t>
      </w:r>
    </w:p>
    <w:p>
      <w:pPr>
        <w:pStyle w:val="Normal"/>
        <w:spacing w:before="0" w:after="120"/>
        <w:rPr/>
      </w:pPr>
      <w:r>
        <w:rPr>
          <w:i w:val="false"/>
          <w:iCs w:val="false"/>
          <w:sz w:val="30"/>
        </w:rPr>
        <w:t xml:space="preserve">The verification requirements provide informative (could do) </w:t>
      </w:r>
      <w:r>
        <w:rPr>
          <w:i/>
          <w:iCs/>
          <w:sz w:val="30"/>
        </w:rPr>
        <w:t xml:space="preserve">Guidance on sampling </w:t>
      </w:r>
      <w:r>
        <w:rPr>
          <w:i w:val="false"/>
          <w:iCs w:val="false"/>
          <w:sz w:val="30"/>
        </w:rPr>
        <w:t xml:space="preserve">(Appendix F) and normative (must do) </w:t>
      </w:r>
      <w:r>
        <w:rPr>
          <w:i/>
          <w:iCs/>
          <w:sz w:val="30"/>
        </w:rPr>
        <w:t>Sampling and preparation of test specimens</w:t>
      </w:r>
      <w:r>
        <w:rPr>
          <w:i w:val="false"/>
          <w:iCs w:val="false"/>
          <w:sz w:val="30"/>
        </w:rPr>
        <w:t xml:space="preserve"> (Appendix H). The purpose of this Code of Practice is to provide the timber preservation operation with more detail on the collection of material for testing.</w:t>
      </w:r>
    </w:p>
    <w:p>
      <w:pPr>
        <w:pStyle w:val="Normal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  <w:t>Collection of Timber Samples:</w:t>
      </w:r>
    </w:p>
    <w:p>
      <w:pPr>
        <w:pStyle w:val="Normal"/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Timber samples should be representative of the charge and conform to the following:</w:t>
      </w:r>
    </w:p>
    <w:p>
      <w:pPr>
        <w:pStyle w:val="Normal"/>
        <w:numPr>
          <w:ilvl w:val="0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Be taken a minimum of 450 mm from end of board.</w:t>
      </w:r>
    </w:p>
    <w:p>
      <w:pPr>
        <w:pStyle w:val="Normal"/>
        <w:numPr>
          <w:ilvl w:val="0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Be the complete cross section </w:t>
      </w:r>
    </w:p>
    <w:p>
      <w:pPr>
        <w:pStyle w:val="Normal"/>
        <w:numPr>
          <w:ilvl w:val="0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A minimum length of 200 mm.</w:t>
      </w:r>
    </w:p>
    <w:p>
      <w:pPr>
        <w:pStyle w:val="Normal"/>
        <w:numPr>
          <w:ilvl w:val="0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A matching 100 mm long ‘B’ sample retained on-site.</w:t>
      </w:r>
    </w:p>
    <w:p>
      <w:pPr>
        <w:pStyle w:val="Normal"/>
        <w:numPr>
          <w:ilvl w:val="0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Be clear sound wood not nearer than 150mm from a knot and clear of defect.</w:t>
      </w:r>
    </w:p>
    <w:p>
      <w:pPr>
        <w:pStyle w:val="Normal"/>
        <w:numPr>
          <w:ilvl w:val="0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If sample is hardwood, contain more than 20% sapwood.</w:t>
      </w:r>
    </w:p>
    <w:p>
      <w:pPr>
        <w:pStyle w:val="Normal"/>
        <w:numPr>
          <w:ilvl w:val="0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If adding sacrificial sample boards to charge, </w:t>
      </w:r>
    </w:p>
    <w:p>
      <w:pPr>
        <w:pStyle w:val="Normal"/>
        <w:numPr>
          <w:ilvl w:val="1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They should be a minimum of 1,800 mm long and </w:t>
      </w:r>
    </w:p>
    <w:p>
      <w:pPr>
        <w:pStyle w:val="Normal"/>
        <w:numPr>
          <w:ilvl w:val="1"/>
          <w:numId w:val="1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Be a minimum of 200 (+100) mm removed midway along the length.</w:t>
      </w:r>
    </w:p>
    <w:p>
      <w:pPr>
        <w:pStyle w:val="Normal"/>
        <w:spacing w:before="0" w:after="120"/>
        <w:rPr>
          <w:b/>
          <w:bCs/>
        </w:rPr>
      </w:pPr>
      <w:r>
        <w:rPr>
          <w:b/>
          <w:bCs/>
          <w:sz w:val="28"/>
          <w:szCs w:val="28"/>
        </w:rPr>
        <w:t>Number of Samples per Charge:</w:t>
      </w:r>
    </w:p>
    <w:p>
      <w:pPr>
        <w:pStyle w:val="Normal"/>
        <w:numPr>
          <w:ilvl w:val="0"/>
          <w:numId w:val="2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To claim compliance with the Standard, the number of samples must comply with the </w:t>
      </w:r>
      <w:r>
        <w:rPr>
          <w:b w:val="false"/>
          <w:bCs w:val="false"/>
          <w:i/>
          <w:iCs/>
          <w:sz w:val="28"/>
          <w:szCs w:val="28"/>
        </w:rPr>
        <w:t>Verification</w:t>
      </w:r>
      <w:r>
        <w:rPr>
          <w:b w:val="false"/>
          <w:bCs w:val="false"/>
          <w:sz w:val="28"/>
          <w:szCs w:val="28"/>
        </w:rPr>
        <w:t xml:space="preserve"> (Part 2) of the Standard</w:t>
      </w:r>
    </w:p>
    <w:p>
      <w:pPr>
        <w:pStyle w:val="Normal"/>
        <w:numPr>
          <w:ilvl w:val="0"/>
          <w:numId w:val="2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To monitor the process, 3 samples per charge.</w:t>
      </w:r>
    </w:p>
    <w:p>
      <w:pPr>
        <w:pStyle w:val="Normal"/>
        <w:keepNext w:val="true"/>
        <w:widowControl w:val="false"/>
        <w:spacing w:before="0" w:after="120"/>
        <w:rPr>
          <w:b/>
          <w:bCs/>
        </w:rPr>
      </w:pPr>
      <w:r>
        <w:rPr>
          <w:b/>
          <w:bCs/>
          <w:sz w:val="28"/>
          <w:szCs w:val="28"/>
        </w:rPr>
        <w:t>Information to accompany samples submitted for testing</w:t>
      </w:r>
    </w:p>
    <w:p>
      <w:pPr>
        <w:pStyle w:val="Normal"/>
        <w:keepNext w:val="true"/>
        <w:widowControl w:val="false"/>
        <w:numPr>
          <w:ilvl w:val="0"/>
          <w:numId w:val="4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Company name and address</w:t>
      </w:r>
    </w:p>
    <w:p>
      <w:pPr>
        <w:pStyle w:val="Normal"/>
        <w:widowControl w:val="false"/>
        <w:numPr>
          <w:ilvl w:val="0"/>
          <w:numId w:val="4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 xml:space="preserve">The preservation plant number. </w:t>
      </w:r>
    </w:p>
    <w:p>
      <w:pPr>
        <w:pStyle w:val="Normal"/>
        <w:keepNext w:val="true"/>
        <w:widowControl w:val="false"/>
        <w:numPr>
          <w:ilvl w:val="0"/>
          <w:numId w:val="3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A unique identifier for the sample(s) usually Charge and replicate number e.g. Chg 1234/3</w:t>
      </w:r>
    </w:p>
    <w:p>
      <w:pPr>
        <w:pStyle w:val="Normal"/>
        <w:keepNext w:val="true"/>
        <w:widowControl w:val="false"/>
        <w:numPr>
          <w:ilvl w:val="0"/>
          <w:numId w:val="3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Site contact details</w:t>
      </w:r>
    </w:p>
    <w:p>
      <w:pPr>
        <w:pStyle w:val="Normal"/>
        <w:keepNext w:val="true"/>
        <w:widowControl w:val="false"/>
        <w:numPr>
          <w:ilvl w:val="0"/>
          <w:numId w:val="3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Treatment type and Hazard level</w:t>
      </w:r>
    </w:p>
    <w:p>
      <w:pPr>
        <w:pStyle w:val="Normal"/>
        <w:keepNext w:val="true"/>
        <w:widowControl w:val="false"/>
        <w:numPr>
          <w:ilvl w:val="0"/>
          <w:numId w:val="3"/>
        </w:numPr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Any other information required from the laboratory.</w:t>
      </w:r>
    </w:p>
    <w:p>
      <w:pPr>
        <w:pStyle w:val="Normal"/>
        <w:spacing w:before="0" w:after="120"/>
        <w:rPr>
          <w:b/>
          <w:bCs/>
        </w:rPr>
      </w:pPr>
      <w:r>
        <w:rPr>
          <w:b/>
          <w:bCs/>
          <w:sz w:val="28"/>
          <w:szCs w:val="28"/>
        </w:rPr>
        <w:t>Chain of Custody/Record Keeping:</w:t>
      </w:r>
    </w:p>
    <w:p>
      <w:pPr>
        <w:pStyle w:val="Normal"/>
        <w:spacing w:before="0" w:after="120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Once samples are collected from a charge, they are to be: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 xml:space="preserve">Labelled with preservation plant number 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The unique identifier used on each sample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The date of preservation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 xml:space="preserve">The matching ‘B’ sample is to be labelled as above and stored on site for at least </w:t>
      </w:r>
      <w:r>
        <w:rPr>
          <w:b w:val="false"/>
          <w:bCs w:val="false"/>
          <w:sz w:val="28"/>
          <w:szCs w:val="28"/>
          <w:shd w:fill="auto" w:val="clear"/>
        </w:rPr>
        <w:t>6 years</w:t>
      </w:r>
      <w:r>
        <w:rPr>
          <w:b w:val="false"/>
          <w:bCs w:val="false"/>
          <w:sz w:val="28"/>
          <w:szCs w:val="28"/>
        </w:rPr>
        <w:t xml:space="preserve"> years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 xml:space="preserve">A spreadsheet is to be completed with </w:t>
      </w:r>
      <w:r>
        <w:rPr>
          <w:b w:val="false"/>
          <w:bCs w:val="false"/>
          <w:sz w:val="28"/>
          <w:szCs w:val="28"/>
          <w:u w:val="single"/>
        </w:rPr>
        <w:t>at least</w:t>
      </w:r>
      <w:r>
        <w:rPr>
          <w:b w:val="false"/>
          <w:bCs w:val="false"/>
          <w:sz w:val="28"/>
          <w:szCs w:val="28"/>
        </w:rPr>
        <w:t xml:space="preserve"> the following information:</w:t>
      </w:r>
    </w:p>
    <w:p>
      <w:pPr>
        <w:pStyle w:val="Normal"/>
        <w:numPr>
          <w:ilvl w:val="1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The unique sample identifier</w:t>
      </w:r>
    </w:p>
    <w:p>
      <w:pPr>
        <w:pStyle w:val="Normal"/>
        <w:numPr>
          <w:ilvl w:val="1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Date of preservation</w:t>
      </w:r>
    </w:p>
    <w:p>
      <w:pPr>
        <w:pStyle w:val="Normal"/>
        <w:numPr>
          <w:ilvl w:val="1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Relevant charge information</w:t>
      </w:r>
    </w:p>
    <w:p>
      <w:pPr>
        <w:pStyle w:val="Normal"/>
        <w:numPr>
          <w:ilvl w:val="2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Solution strength</w:t>
      </w:r>
    </w:p>
    <w:p>
      <w:pPr>
        <w:pStyle w:val="Normal"/>
        <w:numPr>
          <w:ilvl w:val="2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Preservation cycle applied</w:t>
      </w:r>
    </w:p>
    <w:p>
      <w:pPr>
        <w:pStyle w:val="Normal"/>
        <w:numPr>
          <w:ilvl w:val="2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Target absorption/uptake</w:t>
      </w:r>
    </w:p>
    <w:p>
      <w:pPr>
        <w:pStyle w:val="Normal"/>
        <w:numPr>
          <w:ilvl w:val="2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Achieved absorption/uptake</w:t>
      </w:r>
    </w:p>
    <w:p>
      <w:pPr>
        <w:pStyle w:val="Normal"/>
        <w:numPr>
          <w:ilvl w:val="2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Name of test laboratory</w:t>
      </w:r>
    </w:p>
    <w:p>
      <w:pPr>
        <w:pStyle w:val="Normal"/>
        <w:numPr>
          <w:ilvl w:val="2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Date submitted to the testing laboratory</w:t>
      </w:r>
    </w:p>
    <w:p>
      <w:pPr>
        <w:pStyle w:val="Normal"/>
        <w:numPr>
          <w:ilvl w:val="2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Test/analysis results once returned from the testing laboratory.</w:t>
      </w:r>
    </w:p>
    <w:p>
      <w:pPr>
        <w:pStyle w:val="Normal"/>
        <w:numPr>
          <w:ilvl w:val="0"/>
          <w:numId w:val="5"/>
        </w:numPr>
        <w:spacing w:before="0" w:after="120"/>
        <w:rPr/>
      </w:pPr>
      <w:r>
        <w:rPr>
          <w:b w:val="false"/>
          <w:bCs w:val="false"/>
          <w:sz w:val="28"/>
          <w:szCs w:val="28"/>
        </w:rPr>
        <w:t>Timbers samples are to be sent to – Insert list of treatment testing Laboratory names here</w:t>
      </w:r>
    </w:p>
    <w:p>
      <w:pPr>
        <w:pStyle w:val="Normal"/>
        <w:spacing w:before="0" w:after="120"/>
        <w:jc w:val="center"/>
        <w:rPr/>
      </w:pPr>
      <w:r>
        <w:rPr>
          <w:b w:val="false"/>
          <w:bCs w:val="false"/>
          <w:sz w:val="28"/>
          <w:szCs w:val="28"/>
        </w:rPr>
        <w:t>--- End of COP 2 ---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Garamond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Arial">
    <w:charset w:val="01"/>
    <w:family w:val="swiss"/>
    <w:pitch w:val="default"/>
  </w:font>
  <w:font w:name="Arial Narrow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thinThickSmallGap" w:sz="24" w:space="1" w:color="622423"/>
      </w:pBdr>
      <w:rPr>
        <w:rFonts w:ascii="Cambria" w:hAnsi="Cambria" w:asciiTheme="majorHAnsi" w:hAnsiTheme="majorHAnsi"/>
      </w:rPr>
    </w:pPr>
    <w:r>
      <w:rPr>
        <w:rFonts w:ascii="Cambria" w:hAnsi="Cambria" w:asciiTheme="majorHAnsi" w:hAnsiTheme="majorHAnsi"/>
      </w:rPr>
      <w:t xml:space="preserve">Last edited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DATE \@"d\ MMMM\ yyyy"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10 April 2024</w:t>
    </w:r>
    <w:r>
      <w:rPr>
        <w:rFonts w:ascii="Cambria" w:hAnsi="Cambria"/>
      </w:rPr>
      <w:fldChar w:fldCharType="end"/>
    </w:r>
    <w:r>
      <w:rPr>
        <w:rFonts w:ascii="Cambria" w:hAnsi="Cambria" w:asciiTheme="majorHAnsi" w:hAnsiTheme="majorHAnsi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shape_0" adj="10800" fillcolor="silver" stroked="f" o:allowincell="f" style="position:absolute;margin-left:0.1pt;margin-top:278.45pt;width:481.7pt;height:160.9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DRAFT" style="font-family:&quot;Liberation Sans&quot;;font-size:1pt" trim="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2"/>
        <w:szCs w:val="22"/>
        <w:lang w:val="en-AU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bb670e"/>
    <w:pPr>
      <w:widowControl/>
      <w:suppressAutoHyphens w:val="true"/>
      <w:bidi w:val="0"/>
      <w:spacing w:before="0" w:after="0"/>
      <w:jc w:val="left"/>
    </w:pPr>
    <w:rPr>
      <w:rFonts w:ascii="Calibri" w:hAnsi="Calibri" w:eastAsia="新細明體" w:cs="" w:asciiTheme="minorHAnsi" w:cstheme="minorBidi" w:eastAsiaTheme="minorEastAsia" w:hAnsiTheme="minorHAnsi"/>
      <w:color w:val="auto"/>
      <w:kern w:val="0"/>
      <w:sz w:val="22"/>
      <w:szCs w:val="22"/>
      <w:lang w:val="en-AU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7254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1128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1128b"/>
    <w:rPr/>
  </w:style>
  <w:style w:type="character" w:styleId="BodyTextChar" w:customStyle="1">
    <w:name w:val="Body Text Char"/>
    <w:basedOn w:val="DefaultParagraphFont"/>
    <w:qFormat/>
    <w:rsid w:val="00f26954"/>
    <w:rPr>
      <w:rFonts w:ascii="Garamond" w:hAnsi="Garamond" w:eastAsia="Times New Roman" w:cs="Times New Roman"/>
      <w:sz w:val="28"/>
      <w:szCs w:val="20"/>
      <w:lang w:eastAsia="en-US"/>
    </w:rPr>
  </w:style>
  <w:style w:type="character" w:styleId="Apple-converted-space" w:customStyle="1">
    <w:name w:val="apple-converted-space"/>
    <w:basedOn w:val="DefaultParagraphFont"/>
    <w:qFormat/>
    <w:rsid w:val="005c06ac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rsid w:val="00f26954"/>
    <w:pPr/>
    <w:rPr>
      <w:rFonts w:ascii="Garamond" w:hAnsi="Garamond" w:eastAsia="Times New Roman" w:cs="Times New Roman"/>
      <w:sz w:val="28"/>
      <w:szCs w:val="20"/>
      <w:lang w:eastAsia="en-US"/>
    </w:rPr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 Narrow" w:hAnsi="Arial Narrow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7254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b41"/>
    <w:pPr>
      <w:spacing w:before="0" w:after="0"/>
      <w:ind w:hanging="0"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1128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1128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406dbd"/>
    <w:pPr>
      <w:spacing w:beforeAutospacing="1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25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881B-7297-4F81-B935-B9F62234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Application>LibreOffice/7.6.6.3$Windows_X86_64 LibreOffice_project/d97b2716a9a4a2ce1391dee1765565ea469b0ae7</Application>
  <AppVersion>15.0000</AppVersion>
  <Pages>2</Pages>
  <Words>435</Words>
  <Characters>2183</Characters>
  <CharactersWithSpaces>2545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2016-11-20T10:05:00Z</dcterms:created>
  <dc:creator>Jack</dc:creator>
  <dc:description/>
  <dc:language>en-AU</dc:language>
  <cp:lastModifiedBy/>
  <cp:lastPrinted>2017-03-07T06:16:00Z</cp:lastPrinted>
  <dcterms:modified xsi:type="dcterms:W3CDTF">2024-04-10T09:25:53Z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